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DDB" w:rsidRDefault="00C53DDB" w:rsidP="00C53DDB">
      <w:pPr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ПРИЛОЖЕНИЕ № </w:t>
      </w:r>
    </w:p>
    <w:p w:rsidR="00C53DDB" w:rsidRDefault="00C53DDB" w:rsidP="00C53DDB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СОГЛАСОВАНО                                                                   УТВЕРЖДЕНО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94"/>
        <w:gridCol w:w="4076"/>
      </w:tblGrid>
      <w:tr w:rsidR="00C53DDB" w:rsidTr="00C53DDB">
        <w:tc>
          <w:tcPr>
            <w:tcW w:w="5494" w:type="dxa"/>
            <w:hideMark/>
          </w:tcPr>
          <w:p w:rsidR="00C53DDB" w:rsidRDefault="00C53DDB">
            <w:pPr>
              <w:pStyle w:val="a4"/>
              <w:jc w:val="both"/>
              <w:rPr>
                <w:rFonts w:ascii="Times New Roman" w:hAnsi="Times New Roman"/>
                <w:bCs/>
                <w:lang w:bidi="en-US"/>
              </w:rPr>
            </w:pPr>
            <w:r>
              <w:rPr>
                <w:rFonts w:ascii="Times New Roman" w:hAnsi="Times New Roman"/>
                <w:bCs/>
              </w:rPr>
              <w:t xml:space="preserve">Председатель </w:t>
            </w:r>
            <w:proofErr w:type="gramStart"/>
            <w:r>
              <w:rPr>
                <w:rFonts w:ascii="Times New Roman" w:hAnsi="Times New Roman"/>
                <w:bCs/>
              </w:rPr>
              <w:t>профсоюзного</w:t>
            </w:r>
            <w:proofErr w:type="gramEnd"/>
            <w:r>
              <w:rPr>
                <w:rFonts w:ascii="Times New Roman" w:hAnsi="Times New Roman"/>
                <w:bCs/>
              </w:rPr>
              <w:t xml:space="preserve"> </w:t>
            </w:r>
          </w:p>
          <w:p w:rsidR="00C53DDB" w:rsidRDefault="00C53DDB">
            <w:pPr>
              <w:pStyle w:val="a4"/>
              <w:jc w:val="both"/>
              <w:rPr>
                <w:rFonts w:ascii="Times New Roman" w:hAnsi="Times New Roman"/>
                <w:bCs/>
                <w:lang w:bidi="en-US"/>
              </w:rPr>
            </w:pPr>
            <w:r>
              <w:rPr>
                <w:rFonts w:ascii="Times New Roman" w:hAnsi="Times New Roman"/>
                <w:bCs/>
              </w:rPr>
              <w:t>комитета МБОУ «Школа №81»</w:t>
            </w:r>
          </w:p>
        </w:tc>
        <w:tc>
          <w:tcPr>
            <w:tcW w:w="4076" w:type="dxa"/>
            <w:hideMark/>
          </w:tcPr>
          <w:p w:rsidR="00C53DDB" w:rsidRDefault="00C53DDB">
            <w:pPr>
              <w:pStyle w:val="a4"/>
              <w:jc w:val="both"/>
              <w:rPr>
                <w:rFonts w:ascii="Times New Roman" w:hAnsi="Times New Roman"/>
                <w:bCs/>
                <w:lang w:val="en-US" w:bidi="en-US"/>
              </w:rPr>
            </w:pPr>
            <w:r>
              <w:rPr>
                <w:rFonts w:ascii="Times New Roman" w:hAnsi="Times New Roman"/>
                <w:bCs/>
              </w:rPr>
              <w:t xml:space="preserve">Директор школы МБОУ «Школа №81» </w:t>
            </w:r>
          </w:p>
        </w:tc>
      </w:tr>
      <w:tr w:rsidR="00C53DDB" w:rsidTr="00C53DDB">
        <w:tc>
          <w:tcPr>
            <w:tcW w:w="5494" w:type="dxa"/>
            <w:hideMark/>
          </w:tcPr>
          <w:p w:rsidR="00C53DDB" w:rsidRDefault="00C53DDB">
            <w:pPr>
              <w:pStyle w:val="a4"/>
              <w:jc w:val="both"/>
              <w:rPr>
                <w:rFonts w:ascii="Times New Roman" w:hAnsi="Times New Roman"/>
                <w:bCs/>
                <w:lang w:bidi="en-US"/>
              </w:rPr>
            </w:pPr>
            <w:r>
              <w:rPr>
                <w:rFonts w:ascii="Times New Roman" w:hAnsi="Times New Roman"/>
                <w:bCs/>
              </w:rPr>
              <w:t xml:space="preserve">____________ </w:t>
            </w:r>
            <w:proofErr w:type="spellStart"/>
            <w:r>
              <w:rPr>
                <w:rFonts w:ascii="Times New Roman" w:hAnsi="Times New Roman"/>
                <w:bCs/>
              </w:rPr>
              <w:t>Т.Л.Жуляева</w:t>
            </w:r>
            <w:proofErr w:type="spellEnd"/>
          </w:p>
        </w:tc>
        <w:tc>
          <w:tcPr>
            <w:tcW w:w="4076" w:type="dxa"/>
            <w:hideMark/>
          </w:tcPr>
          <w:p w:rsidR="00C53DDB" w:rsidRDefault="00C53DDB">
            <w:pPr>
              <w:pStyle w:val="a4"/>
              <w:jc w:val="both"/>
              <w:rPr>
                <w:rFonts w:ascii="Times New Roman" w:hAnsi="Times New Roman"/>
                <w:bCs/>
                <w:lang w:bidi="en-US"/>
              </w:rPr>
            </w:pPr>
            <w:r>
              <w:rPr>
                <w:rFonts w:ascii="Times New Roman" w:hAnsi="Times New Roman"/>
                <w:bCs/>
              </w:rPr>
              <w:t xml:space="preserve">_________________ </w:t>
            </w:r>
            <w:proofErr w:type="spellStart"/>
            <w:r>
              <w:rPr>
                <w:rFonts w:ascii="Times New Roman" w:hAnsi="Times New Roman"/>
                <w:bCs/>
              </w:rPr>
              <w:t>И.В.Тарасова</w:t>
            </w:r>
            <w:proofErr w:type="spellEnd"/>
          </w:p>
        </w:tc>
      </w:tr>
      <w:tr w:rsidR="00C53DDB" w:rsidTr="00C53DDB">
        <w:tc>
          <w:tcPr>
            <w:tcW w:w="5494" w:type="dxa"/>
            <w:hideMark/>
          </w:tcPr>
          <w:p w:rsidR="00C53DDB" w:rsidRDefault="00C53DDB">
            <w:pPr>
              <w:pStyle w:val="a4"/>
              <w:jc w:val="both"/>
              <w:rPr>
                <w:rFonts w:ascii="Times New Roman" w:hAnsi="Times New Roman"/>
                <w:bCs/>
                <w:lang w:val="en-US" w:bidi="en-US"/>
              </w:rPr>
            </w:pPr>
            <w:r>
              <w:rPr>
                <w:rFonts w:ascii="Times New Roman" w:hAnsi="Times New Roman"/>
                <w:bCs/>
              </w:rPr>
              <w:t>«____»___________20_____г.</w:t>
            </w:r>
          </w:p>
        </w:tc>
        <w:tc>
          <w:tcPr>
            <w:tcW w:w="4076" w:type="dxa"/>
            <w:hideMark/>
          </w:tcPr>
          <w:p w:rsidR="00C53DDB" w:rsidRDefault="00C53DDB">
            <w:pPr>
              <w:pStyle w:val="a4"/>
              <w:jc w:val="both"/>
              <w:rPr>
                <w:rFonts w:ascii="Times New Roman" w:hAnsi="Times New Roman"/>
                <w:bCs/>
                <w:lang w:val="en-US" w:bidi="en-US"/>
              </w:rPr>
            </w:pPr>
            <w:r>
              <w:rPr>
                <w:rFonts w:ascii="Times New Roman" w:hAnsi="Times New Roman"/>
                <w:bCs/>
              </w:rPr>
              <w:t>«____»___________20_____г.</w:t>
            </w:r>
          </w:p>
        </w:tc>
      </w:tr>
      <w:tr w:rsidR="00C53DDB" w:rsidTr="00C53DDB">
        <w:tc>
          <w:tcPr>
            <w:tcW w:w="5494" w:type="dxa"/>
          </w:tcPr>
          <w:p w:rsidR="00C53DDB" w:rsidRDefault="00C53DDB">
            <w:pPr>
              <w:pStyle w:val="a4"/>
              <w:jc w:val="both"/>
              <w:rPr>
                <w:rFonts w:ascii="Times New Roman" w:hAnsi="Times New Roman"/>
                <w:bCs/>
                <w:lang w:val="en-US" w:bidi="en-US"/>
              </w:rPr>
            </w:pPr>
          </w:p>
        </w:tc>
        <w:tc>
          <w:tcPr>
            <w:tcW w:w="4076" w:type="dxa"/>
          </w:tcPr>
          <w:p w:rsidR="00C53DDB" w:rsidRDefault="00C53DDB">
            <w:pPr>
              <w:pStyle w:val="a4"/>
              <w:jc w:val="both"/>
              <w:rPr>
                <w:rFonts w:ascii="Times New Roman" w:hAnsi="Times New Roman"/>
                <w:bCs/>
                <w:lang w:val="en-US" w:bidi="en-US"/>
              </w:rPr>
            </w:pPr>
          </w:p>
        </w:tc>
      </w:tr>
      <w:tr w:rsidR="00C53DDB" w:rsidTr="00C53DDB">
        <w:tc>
          <w:tcPr>
            <w:tcW w:w="5494" w:type="dxa"/>
            <w:hideMark/>
          </w:tcPr>
          <w:p w:rsidR="00C53DDB" w:rsidRDefault="00C53DDB">
            <w:pPr>
              <w:pStyle w:val="a4"/>
              <w:jc w:val="both"/>
              <w:rPr>
                <w:rFonts w:ascii="Times New Roman" w:hAnsi="Times New Roman"/>
                <w:bCs/>
                <w:lang w:val="en-US" w:bidi="en-US"/>
              </w:rPr>
            </w:pPr>
            <w:r>
              <w:rPr>
                <w:rFonts w:ascii="Times New Roman" w:hAnsi="Times New Roman"/>
                <w:bCs/>
              </w:rPr>
              <w:t>Протокол заседания профкома</w:t>
            </w:r>
          </w:p>
        </w:tc>
        <w:tc>
          <w:tcPr>
            <w:tcW w:w="4076" w:type="dxa"/>
          </w:tcPr>
          <w:p w:rsidR="00C53DDB" w:rsidRDefault="00C53DDB">
            <w:pPr>
              <w:pStyle w:val="a4"/>
              <w:jc w:val="both"/>
              <w:rPr>
                <w:rFonts w:ascii="Times New Roman" w:hAnsi="Times New Roman"/>
                <w:bCs/>
                <w:lang w:bidi="en-US"/>
              </w:rPr>
            </w:pPr>
          </w:p>
        </w:tc>
      </w:tr>
      <w:tr w:rsidR="00C53DDB" w:rsidTr="00C53DDB">
        <w:tc>
          <w:tcPr>
            <w:tcW w:w="5494" w:type="dxa"/>
            <w:hideMark/>
          </w:tcPr>
          <w:p w:rsidR="00C53DDB" w:rsidRDefault="00C53DDB">
            <w:pPr>
              <w:pStyle w:val="a4"/>
              <w:jc w:val="both"/>
              <w:rPr>
                <w:rFonts w:ascii="Times New Roman" w:hAnsi="Times New Roman"/>
                <w:bCs/>
                <w:lang w:val="en-US" w:bidi="en-US"/>
              </w:rPr>
            </w:pPr>
            <w:r>
              <w:rPr>
                <w:rFonts w:ascii="Times New Roman" w:hAnsi="Times New Roman"/>
                <w:bCs/>
              </w:rPr>
              <w:t>от__27__ ___03____ 2017 г.</w:t>
            </w:r>
          </w:p>
        </w:tc>
        <w:tc>
          <w:tcPr>
            <w:tcW w:w="4076" w:type="dxa"/>
          </w:tcPr>
          <w:p w:rsidR="00C53DDB" w:rsidRDefault="00C53DDB">
            <w:pPr>
              <w:pStyle w:val="a4"/>
              <w:jc w:val="both"/>
              <w:rPr>
                <w:rFonts w:ascii="Times New Roman" w:hAnsi="Times New Roman"/>
                <w:bCs/>
                <w:lang w:bidi="en-US"/>
              </w:rPr>
            </w:pPr>
          </w:p>
        </w:tc>
      </w:tr>
      <w:tr w:rsidR="00C53DDB" w:rsidTr="00C53DDB">
        <w:tc>
          <w:tcPr>
            <w:tcW w:w="5494" w:type="dxa"/>
            <w:hideMark/>
          </w:tcPr>
          <w:p w:rsidR="00C53DDB" w:rsidRDefault="00C53DDB">
            <w:pPr>
              <w:pStyle w:val="a4"/>
              <w:jc w:val="both"/>
              <w:rPr>
                <w:rFonts w:ascii="Times New Roman" w:hAnsi="Times New Roman"/>
                <w:bCs/>
                <w:lang w:val="en-US" w:bidi="en-US"/>
              </w:rPr>
            </w:pPr>
            <w:r>
              <w:rPr>
                <w:rFonts w:ascii="Times New Roman" w:hAnsi="Times New Roman"/>
                <w:bCs/>
              </w:rPr>
              <w:t>№___3____</w:t>
            </w:r>
          </w:p>
        </w:tc>
        <w:tc>
          <w:tcPr>
            <w:tcW w:w="4076" w:type="dxa"/>
          </w:tcPr>
          <w:p w:rsidR="00C53DDB" w:rsidRDefault="00C53DDB">
            <w:pPr>
              <w:pStyle w:val="a4"/>
              <w:jc w:val="both"/>
              <w:rPr>
                <w:rFonts w:ascii="Times New Roman" w:hAnsi="Times New Roman"/>
                <w:bCs/>
                <w:lang w:bidi="en-US"/>
              </w:rPr>
            </w:pPr>
          </w:p>
        </w:tc>
      </w:tr>
    </w:tbl>
    <w:p w:rsidR="00C53DDB" w:rsidRDefault="00C53DDB" w:rsidP="00C53DDB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756BF0" w:rsidRPr="00756BF0" w:rsidRDefault="00756BF0" w:rsidP="00756BF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</w:p>
    <w:p w:rsidR="00756BF0" w:rsidRPr="00756BF0" w:rsidRDefault="00756BF0" w:rsidP="00756BF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ПОРЯДКЕ  УСТАНОВЛЕНИЯ СТИМУЛИРУЮЩИХ ВЫПЛАТ РАБОТНИКАМ</w:t>
      </w:r>
    </w:p>
    <w:p w:rsidR="00756BF0" w:rsidRPr="00756BF0" w:rsidRDefault="00756BF0" w:rsidP="00756BF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1.Общие положения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разработано в целях реализации приоритетных направлений развития образования, повышения качества образовательного и воспитательного процессов, усиления материальной заинтересованности  работников и ответственности за конечные результаты труда.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Положение является локальным нормативным актом образовательного учреждения, регулирующим порядок и условия распределения выплат стимулирующего характера.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Положение принимается на общем собрании работников образовательного учреждения, согласовывается с  выборным профсоюзным органом  и  утверждается руководителем образовательного учреждения.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На основании настоящего Положения каждый работник школы имеет право на получение стимулирующих выплат по результатам своего труда.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Максимальный размер выплаты стимулирующего характера по итогам работы не ограничен.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Выплаты стимулирующего характера устанавливаются к должностным окладам, ставкам заработной платы работников с учетом повышающих коэффициентов, предусмотренных п. 2.4.1. Положения об оплате труда работников, в соответствии с коллективным договором, соглашениями, локальными нормативными актами, принимаемыми с учетом мнения представительного органа работников на основе  показателей и критериев эффективности работы, изме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ряемых качественными и количественными показателями.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Для принятия решения об установлении работникам выплат стимулирующего характера, а также для оценки эффективности рабо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ты различных категорий работников в образовательном учреждении создается соответствующая комиссия (рабочая группа) с 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участием председателя профсоюзной организации образовательного учреждения. В состав рабочей группы входят: директор, заместители директора, руководители методических объединений, председатель профсоюзной организации.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Заседания рабочей группы проводятся один раз в полугодие.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1.9. Наименование, размер, периодичность и условия осуществления выплат стимулирующего характера, а также показатели и критерии оценки эффективности деятельности работника предусматриваются в трудовом договоре (дополнительном соглашении к трудовому дого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вору).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56BF0" w:rsidRPr="00756BF0" w:rsidRDefault="00756BF0" w:rsidP="00756BF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756B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Порядок установления стимулирующих выплат </w:t>
      </w:r>
    </w:p>
    <w:p w:rsidR="00756BF0" w:rsidRPr="00756BF0" w:rsidRDefault="00756BF0" w:rsidP="00756BF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Критерии и показатели для стимулирования труда ра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ботников определяются в зависимости от результатов и качества ра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боты, а также их заинтересованности в эффективном функциониро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вании образовательного учреждения.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Показатели и критерии эффективности работы работников учреждения разработаны  с учетом следующих принципов: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а)  объективность — размер вознаграждения работника должен определяться на основе объективной оценки результатов его труда;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предсказуемость — работник должен знать, какое вознаграж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дение он получит в зависимости от результатов своего труда;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адекватность — вознаграждение должно быть адекватно тру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довому вкладу каждого работника в результат деятельности всего уч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реждения, его опыту и уровню квалификации;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своевременность — вознаграждение должно следовать за дос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тижением результата;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д)  прозрачность — правила определения вознаграждения должны быть понятны каждому работнику.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Размеры выплат стимулирующего характера устанавливаются учреждением в пределах имею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щихся средств, в том числе внебюджетных, направленных на оплату труда работников, с учетом показателей и критериев эффективности работы, установленных в образовательном учреждении, по согласованию с проф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союзным комитетом и закрепляются в коллективных договорах, со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глашениях.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2.4. Согласно графику педагогические работники предоставляют руководителям методических объединений  самоанализ  деятельности за полугодие и оценочные листы по форме в соответствии с утвержденными критериями, мониторинга результативности и качества своей педагогической деятельности.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2.5. Заместите</w:t>
      </w:r>
      <w:r w:rsidR="00C53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 руководителя по УВР, ВР, 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  заведующий библио</w:t>
      </w:r>
      <w:r w:rsidR="00C53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текой, </w:t>
      </w:r>
      <w:bookmarkStart w:id="0" w:name="_GoBack"/>
      <w:bookmarkEnd w:id="0"/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предоставляют оценочные листы  о выполнении критериев и показателей результативности и эффективности работы руководителю учреждения.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Остальные категории работников  предоставляют оценочные листы  о выполнении критериев и показателей результативности и эффективности работы заместителю директора по АХЧ.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2.7. Не представленные вовремя согласно графику оценочные листы работниками образовательного учреждения без уважительных причин не рассматриваются. Уважительными причинами являются больничный лист, отпуск, командировка.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2.8. Рассмотрев на  заседаниях методических объединений  оценочные листы, руководители методических объединений совместно с заместителями руководителя по УВР и ВР обсуждают выполнение критериями качества выполнения должностных обязанностей педагогических работников на основании анализа деятельности сотрудников учреждения.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2.9. Рассмотрев на предварительном заседании оценочные листы, членами рабочей группы открытым голосованием принимается сводный оценочный лист оценки выполнения критериев и показателей результативности и эффективности работы работников образовательного учреждения. В случае голосования при равном количестве голосов «За» и «Против», голос председателя рабочей группы является решающим.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2.10. В случае несогласия работника с решением рабочей группы, в течение двух дней со дня ознакомления работника с оценкой качества его работы, он может обратиться в рабочую группу с заявлением о своем несогласии. В этом случае работник представляет рабочей группе аналитические материалы, подтверждающие качество своей работы и объективность своего несогласия.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Проводится заседание рабочей группы, на котором рассматриваются заявления и аналитические материалы работников. Работник вправе присутствовать на заседании рабочей группы и давать необходимые пояснения.  После рассмотрения всех представленных документов и заслушивания работников, рабочая группа принимает окончательное решение.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2.12. Решение рабочей группы оформляется протоколом утверждения сводного оценочного листа выполнения критериев и показателей результативности и эффективности работы работников. В этом случае решение рабочей группы является окончательным.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2.13. Выплаты стимулирующего характера производятся </w:t>
      </w:r>
      <w:proofErr w:type="gramStart"/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ежеме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сячно</w:t>
      </w:r>
      <w:proofErr w:type="gramEnd"/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 решению руководителя учреждения с учетом решения рабочей группы по установлению выплат в пределах фонда оплаты труда.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2.14. Планирование фонда оплаты труда по фонду стимулирующих выплат производится пропорционально доле базового фонда оплаты труда категорий работников, включенных в штатное расписание и та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рификационный список.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2.15. Фонд стимулирующих выплат за выполнение показателей каче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ства образовательных услуг педагогическим работникам образова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тельного учреждения планируется отдельно. 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Расчет стоимости одного балла также осуществляется отдельно для педагогических работников и для ос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тальных категорий работников.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2.17. Размеры стимулирующих выплат устанавливаются в про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центном отношении к должностным окладам, ставкам заработной платы или в абсолютных размерах.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2.18.  Стимулирующие  выплаты руководителю учреждения выплачиваются на основании приказа министерства образования и молодежной политики Ставропольского края.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2.19. Выплаты стимулирующего характера заместителям руководителя учреждения устанавливаются с учетом целевых показателей эффективности работы, устанавливаемых руководителю учреждения.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Виды стимулирующих выплат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В учреждении устанавливаются следующие виды выплат стимулирующего характера: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за интенсивность и высокие результаты работы: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интенсивность труда;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высокие результаты работы;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выполнение особо важных и ответственных работ;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за качество выполняемых работ: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наличие ученой степени, почетного звания, ведомственного почетного звания (нагрудного знака);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образцовое выполнение государственного задания;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за стаж  непрерывной работы;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г)  премиальные выплаты по итогам работы.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Выплаты за интенсивность и высокие результаты труда: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выплаты к заработной плате </w:t>
      </w:r>
      <w:proofErr w:type="gramStart"/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 работников, отнесенных к категории молодых специалистов в размере 1000 рублей осуществляются</w:t>
      </w:r>
      <w:proofErr w:type="gramEnd"/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педагогическим работникам, принятым на работу в течение  трех лет после окончания учреждений профессионального образования;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педагогическим работникам за внеклассное руководство (ру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ководство группой), руководство кружковой работой, организацию и проведение мероприятий (на время организации и проведения) в об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ласти образования (физкультуры, здравоохранения, молодежной по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литики и пр.) краевого, окружного и федерального значения;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— работникам рабочих специальностей за выполнение работ по нескольким смежным профессиям и специальностям при их отсутст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вии в штатном расписании образовательного учреждения;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работникам за участие в работе краевых инновационных площадок, в краевых </w:t>
      </w:r>
      <w:proofErr w:type="spellStart"/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стажировочных</w:t>
      </w:r>
      <w:proofErr w:type="spellEnd"/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площадках, в краевых твор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ческих лабораториях, проводящим исследовательскую работу по об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новлению содержания образования, внедрению новых педагогиче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ских технологий;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 работникам учреждения за личный вклад в общие результаты деятельности образовательного учреждения, участие в подготовке и организации социально-значимых мероприятий – до 100%;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 работникам, ответственным за организацию питания в образовательном учреждении — 15%;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уполномоченному по решению задач в области гражданской обороны и защиты населения и территорий от чрезвычайных ситуаций природного и техногенного характера — 5%;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методистам методических, учебно-методических кабинетов (центров) — до 20%;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proofErr w:type="gramStart"/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ответственному</w:t>
      </w:r>
      <w:proofErr w:type="gramEnd"/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размещение информации на школьном сайте — 10%;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proofErr w:type="gramStart"/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ответственному</w:t>
      </w:r>
      <w:proofErr w:type="gramEnd"/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ведение протоколов педсоветов, общих собраний и т.п. — 5%;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уполномоченному по правам ребенка — 5%;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выплаты  педагогическим работникам за классное руководство в размере 1000 рублей пропорционально наполняемости классов и выполнения критериев результативности работы;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выплаты за озеленение пришкольной территории – до 10%;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выплаты председателю профсоюзной организации — до 30%.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Выплаты за качество выполняемых работ: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  выплаты на основании Перечня критериев и показателей качества  результативности и эффективности работы работников учреждения;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 за наличие ученой степени, почетного звания, ведомственного почетного звания (нагрудного знака) устанавливается выплата: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имеющим ученую степень кандидата наук в соответствии с профилем выполняемой работы по основной должности — в размере 20 процентов установленного должностного оклада, ставки заработ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платы;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имеющим ученую степень доктора наук в соответствии с про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филем выполняемой работы по основной должности — в размере 30 процентов установленного должностного оклада, ставки заработной платы;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имеющим почетное звание «народный» — в размере 30 процен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тов, «заслуженный» — 20 процентов установленной ставки заработной платы по основной должности, награжденным ведомственным почет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ным званием (нагрудным знаком) — в размере 15 процентов установ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ленного должностного оклада, ставки заработной платы по основной должности.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наличии у работника двух и более почетных званий и (или) нагрудных знаков доплата производится по одному из оснований.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Выплаты за стаж непрерывной работы  устанавливаются в пределах утвержденного фонда оплаты груда: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стаже работы от 5 до 10 лет — 10%;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стаже работы свыше 10 лет — 15%;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выплата за выслугу лет медицинской сестре в размере 20% от должностного оклада.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стаж непрерывной работы включается: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время работы в образовательном учреждении;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  время, когда педагогический работник фактически не работал, но за ним сохранялись место работы (должность) и заработная плата полностью или частично (в том числе время оплаченного вынужден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прогула при неправильном увольнении или переводе на другую работу и последующем восстановлении на работе);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  время обучения </w:t>
      </w:r>
      <w:proofErr w:type="gramStart"/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учебных заведениях с отрывом от работы в связи с направлением</w:t>
      </w:r>
      <w:proofErr w:type="gramEnd"/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учреждением для получения дополнительного профессионального образования, повышения квалификации или пе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реподготовки;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  периоды временной нетрудоспособности;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  работникам, состоящим в трудовых отношениях с учреж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дением;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—  время военной службы граждан, если в течение трех месяцев после увольнения с этой службы они поступили на работу в то же уч</w:t>
      </w: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реждение.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Премиальные выплаты по итогам работы.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Условия, порядок, размер премиальных выплат устанавливается в соответствии с Положением о премировании работников.</w:t>
      </w:r>
    </w:p>
    <w:p w:rsidR="00756BF0" w:rsidRPr="00756BF0" w:rsidRDefault="00756BF0" w:rsidP="00756B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BF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76BEA" w:rsidRDefault="00676BEA"/>
    <w:sectPr w:rsidR="00676B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8E6"/>
    <w:rsid w:val="005B48E6"/>
    <w:rsid w:val="00676BEA"/>
    <w:rsid w:val="00756BF0"/>
    <w:rsid w:val="00C53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6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53DDB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6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53DD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7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1872</Words>
  <Characters>10673</Characters>
  <Application>Microsoft Office Word</Application>
  <DocSecurity>0</DocSecurity>
  <Lines>88</Lines>
  <Paragraphs>25</Paragraphs>
  <ScaleCrop>false</ScaleCrop>
  <Company/>
  <LinksUpToDate>false</LinksUpToDate>
  <CharactersWithSpaces>12520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2017-05-19T07:33:00Z</dcterms:created>
  <dcterms:modified xsi:type="dcterms:W3CDTF">2017-05-24T07:57:00Z</dcterms:modified>
</cp:coreProperties>
</file>